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C9563" w14:textId="6EBDEA88" w:rsidR="00991635" w:rsidRPr="00991635" w:rsidRDefault="00991635" w:rsidP="00991635">
      <w:pPr>
        <w:jc w:val="right"/>
        <w:rPr>
          <w:bCs/>
          <w:i/>
          <w:iCs/>
          <w:sz w:val="20"/>
          <w:szCs w:val="20"/>
        </w:rPr>
      </w:pPr>
      <w:r>
        <w:rPr>
          <w:bCs/>
          <w:i/>
          <w:iCs/>
          <w:sz w:val="20"/>
          <w:szCs w:val="20"/>
        </w:rPr>
        <w:t>Translation from Lithuanian</w:t>
      </w:r>
    </w:p>
    <w:p w14:paraId="1680AB64" w14:textId="7B8C49EA" w:rsidR="001E6287" w:rsidRPr="009C6CA1" w:rsidRDefault="00000000" w:rsidP="009C6CA1">
      <w:pPr>
        <w:jc w:val="center"/>
        <w:rPr>
          <w:bCs/>
          <w:sz w:val="28"/>
          <w:szCs w:val="28"/>
        </w:rPr>
      </w:pPr>
      <w:r w:rsidRPr="009C6CA1">
        <w:rPr>
          <w:bCs/>
          <w:sz w:val="28"/>
          <w:szCs w:val="28"/>
        </w:rPr>
        <w:t xml:space="preserve">Annex No. 1 to the </w:t>
      </w:r>
      <w:r w:rsidR="009C6CA1" w:rsidRPr="00C52C9B">
        <w:rPr>
          <w:bCs/>
          <w:sz w:val="28"/>
          <w:szCs w:val="28"/>
        </w:rPr>
        <w:t>Tender</w:t>
      </w:r>
    </w:p>
    <w:p w14:paraId="613BDACA" w14:textId="77777777" w:rsidR="001E6287" w:rsidRDefault="00000000" w:rsidP="009C6CA1">
      <w:pPr>
        <w:jc w:val="right"/>
      </w:pPr>
      <w:r>
        <w:t>{SAMPLE}</w:t>
      </w:r>
    </w:p>
    <w:p w14:paraId="504571D1" w14:textId="77777777" w:rsidR="001E6287" w:rsidRDefault="00000000">
      <w:r>
        <w:t>{Supplier’s name}</w:t>
      </w:r>
    </w:p>
    <w:p w14:paraId="132C3120" w14:textId="77777777" w:rsidR="001E6287" w:rsidRPr="009C6CA1" w:rsidRDefault="00000000">
      <w:pPr>
        <w:rPr>
          <w:rFonts w:ascii="Palatino Linotype" w:hAnsi="Palatino Linotype"/>
          <w:bCs/>
          <w:sz w:val="20"/>
          <w:szCs w:val="20"/>
        </w:rPr>
      </w:pPr>
      <w:r w:rsidRPr="009C6CA1">
        <w:rPr>
          <w:rFonts w:ascii="Palatino Linotype" w:hAnsi="Palatino Linotype"/>
          <w:bCs/>
          <w:sz w:val="20"/>
          <w:szCs w:val="20"/>
        </w:rPr>
        <w:t>Ignalina Nuclear Power Plant</w:t>
      </w:r>
    </w:p>
    <w:p w14:paraId="21655612" w14:textId="77777777" w:rsidR="001E6287" w:rsidRPr="009C6CA1" w:rsidRDefault="00000000">
      <w:pPr>
        <w:jc w:val="center"/>
        <w:rPr>
          <w:bCs/>
          <w:sz w:val="34"/>
          <w:szCs w:val="34"/>
        </w:rPr>
      </w:pPr>
      <w:r w:rsidRPr="009C6CA1">
        <w:rPr>
          <w:bCs/>
          <w:sz w:val="34"/>
          <w:szCs w:val="34"/>
        </w:rPr>
        <w:t>SUPPLIER’S DECLARATION</w:t>
      </w:r>
    </w:p>
    <w:p w14:paraId="47A3A1EB" w14:textId="77777777" w:rsidR="001E6287" w:rsidRDefault="00000000" w:rsidP="009C6CA1">
      <w:pPr>
        <w:jc w:val="center"/>
      </w:pPr>
      <w:r>
        <w:t>{date}</w:t>
      </w:r>
    </w:p>
    <w:p w14:paraId="6B8782BE" w14:textId="4FC81649"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 xml:space="preserve">I hereby confirm that </w:t>
      </w:r>
      <w:r w:rsidRPr="009C6CA1">
        <w:rPr>
          <w:rFonts w:ascii="Palatino Linotype" w:hAnsi="Palatino Linotype"/>
          <w:i/>
          <w:iCs/>
          <w:sz w:val="20"/>
          <w:szCs w:val="20"/>
        </w:rPr>
        <w:t>{supplier’s name}</w:t>
      </w:r>
      <w:r w:rsidRPr="009C6CA1">
        <w:rPr>
          <w:rFonts w:ascii="Palatino Linotype" w:hAnsi="Palatino Linotype"/>
          <w:sz w:val="20"/>
          <w:szCs w:val="20"/>
        </w:rPr>
        <w:t xml:space="preserve"> and the goods/services offered in the tender for the procurement “Procurement of </w:t>
      </w:r>
      <w:r w:rsidRPr="00C52C9B">
        <w:rPr>
          <w:rFonts w:ascii="Palatino Linotype" w:hAnsi="Palatino Linotype"/>
          <w:sz w:val="20"/>
          <w:szCs w:val="20"/>
        </w:rPr>
        <w:t>Geological Investigation Drilling Services</w:t>
      </w:r>
      <w:r w:rsidRPr="009C6CA1">
        <w:rPr>
          <w:rFonts w:ascii="Palatino Linotype" w:hAnsi="Palatino Linotype"/>
          <w:sz w:val="20"/>
          <w:szCs w:val="20"/>
        </w:rPr>
        <w:t xml:space="preserve">” (if applicable) do not meet the </w:t>
      </w:r>
      <w:r w:rsidR="000D6082">
        <w:rPr>
          <w:rFonts w:ascii="Palatino Linotype" w:hAnsi="Palatino Linotype"/>
          <w:sz w:val="20"/>
          <w:szCs w:val="20"/>
        </w:rPr>
        <w:t>tender</w:t>
      </w:r>
      <w:r w:rsidRPr="009C6CA1">
        <w:rPr>
          <w:rFonts w:ascii="Palatino Linotype" w:hAnsi="Palatino Linotype"/>
          <w:sz w:val="20"/>
          <w:szCs w:val="20"/>
        </w:rPr>
        <w:t xml:space="preserve"> rejection criteria, namely that:</w:t>
      </w:r>
    </w:p>
    <w:p w14:paraId="48AFB313" w14:textId="77777777"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1. the supplier, its subcontractor, entities whose capacities are being relied upon, the manufacturer of the goods offered by the supplier (including their components and packaging), or persons controlling them are not legal entities registered in states or territories* listed in the list of states or territories approved by the Government of the Republic of Lithuania to which this ground for rejection of tenders applies;</w:t>
      </w:r>
    </w:p>
    <w:p w14:paraId="1775CA14" w14:textId="77777777"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2. the supplier, its subcontractor, the entity whose capacities are being relied upon, the manufacturer of the goods offered by the supplier (including their components and packaging), or persons controlling them are not natural persons permanently residing in states or territories listed in the list approved by the Government of the Republic of Lithuania to which this ground for rejection of tenders applies, nor are they citizens of such states;</w:t>
      </w:r>
    </w:p>
    <w:p w14:paraId="1CD62381" w14:textId="77777777"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 xml:space="preserve">3. the origin of the goods (including their components and packaging) is not from, and the services are not provided from, states or territories listed in the list approved by the Government of the Republic of Lithuania to which this ground for rejection of tenders </w:t>
      </w:r>
      <w:proofErr w:type="gramStart"/>
      <w:r w:rsidRPr="009C6CA1">
        <w:rPr>
          <w:rFonts w:ascii="Palatino Linotype" w:hAnsi="Palatino Linotype"/>
          <w:sz w:val="20"/>
          <w:szCs w:val="20"/>
        </w:rPr>
        <w:t>applies;</w:t>
      </w:r>
      <w:proofErr w:type="gramEnd"/>
    </w:p>
    <w:p w14:paraId="5E1CD537" w14:textId="60F67293"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 xml:space="preserve">4. the Government of the Republic of Lithuania, acting in accordance with the criteria established in the </w:t>
      </w:r>
      <w:r w:rsidR="00C62631" w:rsidRPr="00C62631">
        <w:rPr>
          <w:rFonts w:ascii="Palatino Linotype" w:hAnsi="Palatino Linotype"/>
          <w:sz w:val="20"/>
          <w:szCs w:val="20"/>
        </w:rPr>
        <w:t>Law on the Protection of Objects Important for National Security</w:t>
      </w:r>
      <w:r w:rsidRPr="009C6CA1">
        <w:rPr>
          <w:rFonts w:ascii="Palatino Linotype" w:hAnsi="Palatino Linotype"/>
          <w:sz w:val="20"/>
          <w:szCs w:val="20"/>
        </w:rPr>
        <w:t>, has not adopted a decision confirming that the entities specified in subparagraphs 1 and 2, or a transaction intended to be concluded (or already concluded) with them, do not comply with national security interests;</w:t>
      </w:r>
    </w:p>
    <w:p w14:paraId="132C9884" w14:textId="77777777"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 xml:space="preserve">5. the entities specified in subparagraphs 1 and 2 do not have interests that could pose a threat to national </w:t>
      </w:r>
      <w:proofErr w:type="gramStart"/>
      <w:r w:rsidRPr="009C6CA1">
        <w:rPr>
          <w:rFonts w:ascii="Palatino Linotype" w:hAnsi="Palatino Linotype"/>
          <w:sz w:val="20"/>
          <w:szCs w:val="20"/>
        </w:rPr>
        <w:t>security;</w:t>
      </w:r>
      <w:proofErr w:type="gramEnd"/>
    </w:p>
    <w:p w14:paraId="30E3CB42" w14:textId="77777777"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 xml:space="preserve">6. the supplier, its subcontractor, or the entity whose capacities are being relied upon does not carry out activities in states or territories* listed in the list approved by the Government of the Republic of Lithuania to which this ground for rejection of tenders applies, and is not a member of a group of economic operators in which any member carries out activities in such states or territories, nor </w:t>
      </w:r>
      <w:r w:rsidRPr="009C6CA1">
        <w:rPr>
          <w:rFonts w:ascii="Palatino Linotype" w:hAnsi="Palatino Linotype"/>
          <w:sz w:val="20"/>
          <w:szCs w:val="20"/>
        </w:rPr>
        <w:lastRenderedPageBreak/>
        <w:t>is its manager, another member of its management or supervisory body, or another person (persons) entitled to represent, control, make decisions on behalf of, or conclude transactions on behalf of the supplier, subcontractor, or entity whose capacities are being relied upon, thereby participating in the activities of such groups of economic operators and/or economic operators.</w:t>
      </w:r>
    </w:p>
    <w:p w14:paraId="2DF96B82" w14:textId="77777777" w:rsidR="001E6287" w:rsidRPr="009C6CA1" w:rsidRDefault="00000000" w:rsidP="009C6CA1">
      <w:pPr>
        <w:jc w:val="both"/>
        <w:rPr>
          <w:rFonts w:ascii="Palatino Linotype" w:hAnsi="Palatino Linotype"/>
          <w:sz w:val="20"/>
          <w:szCs w:val="20"/>
        </w:rPr>
      </w:pPr>
      <w:r w:rsidRPr="009C6CA1">
        <w:rPr>
          <w:rFonts w:ascii="Palatino Linotype" w:hAnsi="Palatino Linotype"/>
          <w:sz w:val="20"/>
          <w:szCs w:val="20"/>
        </w:rPr>
        <w:t>*List of states or territories to which the provisions of Article 45(2</w:t>
      </w:r>
      <w:r w:rsidRPr="0082657C">
        <w:rPr>
          <w:rFonts w:ascii="Palatino Linotype" w:hAnsi="Palatino Linotype"/>
          <w:sz w:val="20"/>
          <w:szCs w:val="20"/>
          <w:vertAlign w:val="superscript"/>
        </w:rPr>
        <w:t>1</w:t>
      </w:r>
      <w:r w:rsidRPr="009C6CA1">
        <w:rPr>
          <w:rFonts w:ascii="Palatino Linotype" w:hAnsi="Palatino Linotype"/>
          <w:sz w:val="20"/>
          <w:szCs w:val="20"/>
        </w:rPr>
        <w:t>) of the Law on Public Procurement of the Republic of Lithuania apply in relation to public procurement tenders:</w:t>
      </w:r>
    </w:p>
    <w:p w14:paraId="549E2D79" w14:textId="77777777" w:rsidR="001E6287" w:rsidRPr="009C6CA1" w:rsidRDefault="00000000">
      <w:pPr>
        <w:rPr>
          <w:rFonts w:ascii="Palatino Linotype" w:hAnsi="Palatino Linotype"/>
          <w:sz w:val="20"/>
          <w:szCs w:val="20"/>
        </w:rPr>
      </w:pPr>
      <w:r w:rsidRPr="009C6CA1">
        <w:rPr>
          <w:rFonts w:ascii="Palatino Linotype" w:hAnsi="Palatino Linotype"/>
          <w:sz w:val="20"/>
          <w:szCs w:val="20"/>
        </w:rPr>
        <w:t>1. Russian Federation.</w:t>
      </w:r>
    </w:p>
    <w:p w14:paraId="53434D3A" w14:textId="77777777" w:rsidR="001E6287" w:rsidRPr="009C6CA1" w:rsidRDefault="00000000">
      <w:pPr>
        <w:rPr>
          <w:rFonts w:ascii="Palatino Linotype" w:hAnsi="Palatino Linotype"/>
          <w:sz w:val="20"/>
          <w:szCs w:val="20"/>
        </w:rPr>
      </w:pPr>
      <w:r w:rsidRPr="009C6CA1">
        <w:rPr>
          <w:rFonts w:ascii="Palatino Linotype" w:hAnsi="Palatino Linotype"/>
          <w:sz w:val="20"/>
          <w:szCs w:val="20"/>
        </w:rPr>
        <w:t>2. Republic of Belarus.</w:t>
      </w:r>
    </w:p>
    <w:p w14:paraId="57F694D8" w14:textId="77777777" w:rsidR="001E6287" w:rsidRPr="009C6CA1" w:rsidRDefault="00000000">
      <w:pPr>
        <w:rPr>
          <w:rFonts w:ascii="Palatino Linotype" w:hAnsi="Palatino Linotype"/>
          <w:sz w:val="20"/>
          <w:szCs w:val="20"/>
        </w:rPr>
      </w:pPr>
      <w:r w:rsidRPr="009C6CA1">
        <w:rPr>
          <w:rFonts w:ascii="Palatino Linotype" w:hAnsi="Palatino Linotype"/>
          <w:sz w:val="20"/>
          <w:szCs w:val="20"/>
        </w:rPr>
        <w:t>3. Crimea annexed by the Russian Federation.</w:t>
      </w:r>
    </w:p>
    <w:p w14:paraId="29B8F617" w14:textId="77777777" w:rsidR="001E6287" w:rsidRPr="009C6CA1" w:rsidRDefault="00000000">
      <w:pPr>
        <w:rPr>
          <w:rFonts w:ascii="Palatino Linotype" w:hAnsi="Palatino Linotype"/>
          <w:sz w:val="20"/>
          <w:szCs w:val="20"/>
        </w:rPr>
      </w:pPr>
      <w:r w:rsidRPr="009C6CA1">
        <w:rPr>
          <w:rFonts w:ascii="Palatino Linotype" w:hAnsi="Palatino Linotype"/>
          <w:sz w:val="20"/>
          <w:szCs w:val="20"/>
        </w:rPr>
        <w:t>4. The Transnistrian territory not controlled by the Government of the Republic of Moldova.</w:t>
      </w:r>
    </w:p>
    <w:p w14:paraId="37C59F1B" w14:textId="77777777" w:rsidR="001E6287" w:rsidRPr="009C6CA1" w:rsidRDefault="00000000">
      <w:pPr>
        <w:rPr>
          <w:rFonts w:ascii="Palatino Linotype" w:hAnsi="Palatino Linotype"/>
          <w:sz w:val="20"/>
          <w:szCs w:val="20"/>
        </w:rPr>
      </w:pPr>
      <w:r w:rsidRPr="009C6CA1">
        <w:rPr>
          <w:rFonts w:ascii="Palatino Linotype" w:hAnsi="Palatino Linotype"/>
          <w:sz w:val="20"/>
          <w:szCs w:val="20"/>
        </w:rPr>
        <w:t>5. The territories of Abkhazia and South Ossetia not controlled by the Government of Georgia.</w:t>
      </w:r>
    </w:p>
    <w:p w14:paraId="3375A4FA" w14:textId="77777777" w:rsidR="001E6287" w:rsidRPr="009C6CA1" w:rsidRDefault="001E6287">
      <w:pPr>
        <w:rPr>
          <w:rFonts w:ascii="Palatino Linotype" w:hAnsi="Palatino Linotype"/>
          <w:sz w:val="20"/>
          <w:szCs w:val="20"/>
        </w:rPr>
      </w:pPr>
    </w:p>
    <w:p w14:paraId="4346E050" w14:textId="45FE9EBF" w:rsidR="001E6287" w:rsidRPr="009C6CA1" w:rsidRDefault="00000000">
      <w:pPr>
        <w:rPr>
          <w:rFonts w:ascii="Palatino Linotype" w:hAnsi="Palatino Linotype"/>
          <w:bCs/>
          <w:sz w:val="20"/>
          <w:szCs w:val="20"/>
        </w:rPr>
      </w:pPr>
      <w:r w:rsidRPr="009C6CA1">
        <w:rPr>
          <w:rFonts w:ascii="Palatino Linotype" w:hAnsi="Palatino Linotype"/>
          <w:bCs/>
          <w:sz w:val="20"/>
          <w:szCs w:val="20"/>
        </w:rPr>
        <w:t>(position of the authorized person)</w:t>
      </w:r>
      <w:r w:rsidR="009C6CA1">
        <w:rPr>
          <w:rFonts w:ascii="Palatino Linotype" w:hAnsi="Palatino Linotype"/>
          <w:bCs/>
          <w:sz w:val="20"/>
          <w:szCs w:val="20"/>
        </w:rPr>
        <w:t xml:space="preserve"> </w:t>
      </w:r>
      <w:r w:rsidRPr="009C6CA1">
        <w:rPr>
          <w:rFonts w:ascii="Palatino Linotype" w:hAnsi="Palatino Linotype"/>
          <w:bCs/>
          <w:sz w:val="20"/>
          <w:szCs w:val="20"/>
        </w:rPr>
        <w:t>(signature)</w:t>
      </w:r>
      <w:proofErr w:type="gramStart"/>
      <w:r w:rsidRPr="009C6CA1">
        <w:rPr>
          <w:rFonts w:ascii="Palatino Linotype" w:hAnsi="Palatino Linotype"/>
          <w:bCs/>
          <w:sz w:val="20"/>
          <w:szCs w:val="20"/>
        </w:rPr>
        <w:tab/>
      </w:r>
      <w:r w:rsidR="009C6CA1">
        <w:rPr>
          <w:rFonts w:ascii="Palatino Linotype" w:hAnsi="Palatino Linotype"/>
          <w:bCs/>
          <w:sz w:val="20"/>
          <w:szCs w:val="20"/>
        </w:rPr>
        <w:t xml:space="preserve">  </w:t>
      </w:r>
      <w:r w:rsidRPr="009C6CA1">
        <w:rPr>
          <w:rFonts w:ascii="Palatino Linotype" w:hAnsi="Palatino Linotype"/>
          <w:bCs/>
          <w:sz w:val="20"/>
          <w:szCs w:val="20"/>
        </w:rPr>
        <w:t>(</w:t>
      </w:r>
      <w:proofErr w:type="gramEnd"/>
      <w:r w:rsidRPr="009C6CA1">
        <w:rPr>
          <w:rFonts w:ascii="Palatino Linotype" w:hAnsi="Palatino Linotype"/>
          <w:bCs/>
          <w:sz w:val="20"/>
          <w:szCs w:val="20"/>
        </w:rPr>
        <w:t>name, surname)</w:t>
      </w:r>
    </w:p>
    <w:sectPr w:rsidR="001E6287" w:rsidRPr="009C6CA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92188705">
    <w:abstractNumId w:val="8"/>
  </w:num>
  <w:num w:numId="2" w16cid:durableId="1272012227">
    <w:abstractNumId w:val="6"/>
  </w:num>
  <w:num w:numId="3" w16cid:durableId="2090228073">
    <w:abstractNumId w:val="5"/>
  </w:num>
  <w:num w:numId="4" w16cid:durableId="1036546729">
    <w:abstractNumId w:val="4"/>
  </w:num>
  <w:num w:numId="5" w16cid:durableId="920140524">
    <w:abstractNumId w:val="7"/>
  </w:num>
  <w:num w:numId="6" w16cid:durableId="21057395">
    <w:abstractNumId w:val="3"/>
  </w:num>
  <w:num w:numId="7" w16cid:durableId="358554971">
    <w:abstractNumId w:val="2"/>
  </w:num>
  <w:num w:numId="8" w16cid:durableId="149755197">
    <w:abstractNumId w:val="1"/>
  </w:num>
  <w:num w:numId="9" w16cid:durableId="91709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D6082"/>
    <w:rsid w:val="0015074B"/>
    <w:rsid w:val="001E6287"/>
    <w:rsid w:val="0029639D"/>
    <w:rsid w:val="00326F90"/>
    <w:rsid w:val="0065694A"/>
    <w:rsid w:val="0082657C"/>
    <w:rsid w:val="00991635"/>
    <w:rsid w:val="009922C2"/>
    <w:rsid w:val="009C6CA1"/>
    <w:rsid w:val="00A7622C"/>
    <w:rsid w:val="00A906D8"/>
    <w:rsid w:val="00AA1D8D"/>
    <w:rsid w:val="00B47730"/>
    <w:rsid w:val="00C52C9B"/>
    <w:rsid w:val="00C62631"/>
    <w:rsid w:val="00CB0664"/>
    <w:rsid w:val="00D057C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643045"/>
  <w14:defaultImageDpi w14:val="300"/>
  <w15:docId w15:val="{B72755F2-14FB-4A9B-9C44-EA1A14623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388</Words>
  <Characters>2964</Characters>
  <Application>Microsoft Office Word</Application>
  <DocSecurity>0</DocSecurity>
  <Lines>102</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Julija Dziuba</cp:lastModifiedBy>
  <cp:revision>3</cp:revision>
  <dcterms:created xsi:type="dcterms:W3CDTF">2026-05-12T08:07:00Z</dcterms:created>
  <dcterms:modified xsi:type="dcterms:W3CDTF">2026-05-12T08:08:00Z</dcterms:modified>
  <cp:category/>
</cp:coreProperties>
</file>